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12BD7" w14:textId="3FA3A5D7" w:rsidR="00CC6C57" w:rsidRPr="005B7754" w:rsidRDefault="00387716">
      <w:pPr>
        <w:spacing w:after="421" w:line="264" w:lineRule="auto"/>
        <w:ind w:left="207" w:right="14" w:hanging="10"/>
        <w:jc w:val="center"/>
        <w:rPr>
          <w:rFonts w:ascii="Verdana" w:hAnsi="Verdana"/>
          <w:b/>
          <w:bCs/>
          <w:sz w:val="24"/>
          <w:szCs w:val="24"/>
        </w:rPr>
      </w:pPr>
      <w:r w:rsidRPr="005B7754">
        <w:rPr>
          <w:rFonts w:ascii="Verdana" w:hAnsi="Verdana"/>
          <w:b/>
          <w:bCs/>
          <w:sz w:val="24"/>
          <w:szCs w:val="24"/>
        </w:rPr>
        <w:t>RESOLUCION TAT-1579-2007</w:t>
      </w:r>
    </w:p>
    <w:p w14:paraId="406BC8B2" w14:textId="77777777" w:rsidR="00CC6C57" w:rsidRPr="005B7754" w:rsidRDefault="00387716">
      <w:pPr>
        <w:ind w:right="38"/>
        <w:rPr>
          <w:rFonts w:ascii="Verdana" w:hAnsi="Verdana"/>
          <w:sz w:val="24"/>
          <w:szCs w:val="24"/>
        </w:rPr>
      </w:pPr>
      <w:r w:rsidRPr="005B7754">
        <w:rPr>
          <w:rFonts w:ascii="Verdana" w:hAnsi="Verdana"/>
          <w:b/>
          <w:bCs/>
          <w:sz w:val="24"/>
          <w:szCs w:val="24"/>
        </w:rPr>
        <w:t>TRIBUNAL ADMINISTRATIVO DE TRANSPORTE</w:t>
      </w:r>
      <w:r w:rsidRPr="005B7754">
        <w:rPr>
          <w:rFonts w:ascii="Verdana" w:hAnsi="Verdana"/>
          <w:sz w:val="24"/>
          <w:szCs w:val="24"/>
        </w:rPr>
        <w:t>. san José, a las once horas del veintisiete de febrero del dos mil siete.</w:t>
      </w:r>
    </w:p>
    <w:p w14:paraId="01FF3C98" w14:textId="3ACCE0E4" w:rsidR="00CC6C57" w:rsidRPr="005B7754" w:rsidRDefault="00387716">
      <w:pPr>
        <w:spacing w:after="504"/>
        <w:ind w:right="38"/>
        <w:rPr>
          <w:rFonts w:ascii="Verdana" w:hAnsi="Verdana"/>
          <w:sz w:val="24"/>
          <w:szCs w:val="24"/>
        </w:rPr>
      </w:pPr>
      <w:r w:rsidRPr="005B7754">
        <w:rPr>
          <w:rFonts w:ascii="Verdana" w:hAnsi="Verdana"/>
          <w:sz w:val="24"/>
          <w:szCs w:val="24"/>
        </w:rPr>
        <w:t xml:space="preserve">Se conoce </w:t>
      </w:r>
      <w:r w:rsidRPr="005B7754">
        <w:rPr>
          <w:rFonts w:ascii="Verdana" w:hAnsi="Verdana"/>
          <w:b/>
          <w:bCs/>
          <w:sz w:val="24"/>
          <w:szCs w:val="24"/>
        </w:rPr>
        <w:t>RECURSO DE APELACIÓN</w:t>
      </w:r>
      <w:r w:rsidRPr="005B7754">
        <w:rPr>
          <w:rFonts w:ascii="Verdana" w:hAnsi="Verdana"/>
          <w:sz w:val="24"/>
          <w:szCs w:val="24"/>
        </w:rPr>
        <w:t xml:space="preserve">, interpuesto por el señor </w:t>
      </w:r>
      <w:r w:rsidR="005B7754">
        <w:rPr>
          <w:rFonts w:ascii="Verdana" w:hAnsi="Verdana"/>
          <w:sz w:val="24"/>
          <w:szCs w:val="24"/>
        </w:rPr>
        <w:t>G.B.V.</w:t>
      </w:r>
      <w:r w:rsidRPr="005B7754">
        <w:rPr>
          <w:rFonts w:ascii="Verdana" w:hAnsi="Verdana"/>
          <w:sz w:val="24"/>
          <w:szCs w:val="24"/>
        </w:rPr>
        <w:t xml:space="preserve">, cédula de identidad número </w:t>
      </w:r>
      <w:r w:rsidR="005B7754">
        <w:rPr>
          <w:rFonts w:ascii="Verdana" w:hAnsi="Verdana"/>
          <w:sz w:val="24"/>
          <w:szCs w:val="24"/>
        </w:rPr>
        <w:t>XXX</w:t>
      </w:r>
      <w:r w:rsidRPr="005B7754">
        <w:rPr>
          <w:rFonts w:ascii="Verdana" w:hAnsi="Verdana"/>
          <w:sz w:val="24"/>
          <w:szCs w:val="24"/>
        </w:rPr>
        <w:t>, en contra del artículo 6,4, de la Sesión Ordinaria 15-2006, del 01 de marzo del 2006, adoptado por la Junta Directiva del Consejo de Transporte Público y tramitado en este Despacho bajo el Expediente Administrativo No. TAT-004-07.</w:t>
      </w:r>
    </w:p>
    <w:p w14:paraId="37C44439" w14:textId="77777777" w:rsidR="00CC6C57" w:rsidRPr="005B7754" w:rsidRDefault="00387716">
      <w:pPr>
        <w:spacing w:after="361" w:line="259" w:lineRule="auto"/>
        <w:ind w:left="250"/>
        <w:jc w:val="left"/>
        <w:rPr>
          <w:rFonts w:ascii="Verdana" w:hAnsi="Verdana"/>
          <w:sz w:val="24"/>
          <w:szCs w:val="24"/>
        </w:rPr>
      </w:pPr>
      <w:r w:rsidRPr="005B7754">
        <w:rPr>
          <w:rFonts w:ascii="Verdana" w:hAnsi="Verdana"/>
          <w:sz w:val="24"/>
          <w:szCs w:val="24"/>
        </w:rPr>
        <w:t>Redacta la Jueza Pérez Peláez; y,</w:t>
      </w:r>
    </w:p>
    <w:p w14:paraId="7F7A109A" w14:textId="77777777" w:rsidR="00CC6C57" w:rsidRPr="005B7754" w:rsidRDefault="00387716">
      <w:pPr>
        <w:spacing w:after="142" w:line="264" w:lineRule="auto"/>
        <w:ind w:left="207" w:hanging="10"/>
        <w:jc w:val="center"/>
        <w:rPr>
          <w:rFonts w:ascii="Verdana" w:hAnsi="Verdana"/>
          <w:b/>
          <w:bCs/>
          <w:sz w:val="24"/>
          <w:szCs w:val="24"/>
        </w:rPr>
      </w:pPr>
      <w:r w:rsidRPr="005B7754">
        <w:rPr>
          <w:rFonts w:ascii="Verdana" w:hAnsi="Verdana"/>
          <w:b/>
          <w:bCs/>
          <w:noProof/>
          <w:sz w:val="24"/>
          <w:szCs w:val="24"/>
        </w:rPr>
        <w:drawing>
          <wp:anchor distT="0" distB="0" distL="114300" distR="114300" simplePos="0" relativeHeight="251658240" behindDoc="0" locked="0" layoutInCell="1" allowOverlap="0" wp14:anchorId="162C4B90" wp14:editId="3C5B88D0">
            <wp:simplePos x="0" y="0"/>
            <wp:positionH relativeFrom="page">
              <wp:posOffset>6961338</wp:posOffset>
            </wp:positionH>
            <wp:positionV relativeFrom="page">
              <wp:posOffset>7186314</wp:posOffset>
            </wp:positionV>
            <wp:extent cx="18295" cy="12196"/>
            <wp:effectExtent l="0" t="0" r="0" b="0"/>
            <wp:wrapSquare wrapText="bothSides"/>
            <wp:docPr id="1813" name="Picture 1813"/>
            <wp:cNvGraphicFramePr/>
            <a:graphic xmlns:a="http://schemas.openxmlformats.org/drawingml/2006/main">
              <a:graphicData uri="http://schemas.openxmlformats.org/drawingml/2006/picture">
                <pic:pic xmlns:pic="http://schemas.openxmlformats.org/drawingml/2006/picture">
                  <pic:nvPicPr>
                    <pic:cNvPr id="1813" name="Picture 1813"/>
                    <pic:cNvPicPr/>
                  </pic:nvPicPr>
                  <pic:blipFill>
                    <a:blip r:embed="rId4"/>
                    <a:stretch>
                      <a:fillRect/>
                    </a:stretch>
                  </pic:blipFill>
                  <pic:spPr>
                    <a:xfrm>
                      <a:off x="0" y="0"/>
                      <a:ext cx="18295" cy="12196"/>
                    </a:xfrm>
                    <a:prstGeom prst="rect">
                      <a:avLst/>
                    </a:prstGeom>
                  </pic:spPr>
                </pic:pic>
              </a:graphicData>
            </a:graphic>
          </wp:anchor>
        </w:drawing>
      </w:r>
      <w:r w:rsidRPr="005B7754">
        <w:rPr>
          <w:rFonts w:ascii="Verdana" w:hAnsi="Verdana"/>
          <w:b/>
          <w:bCs/>
          <w:sz w:val="24"/>
          <w:szCs w:val="24"/>
        </w:rPr>
        <w:t>CONSIDERANDO UNICO:</w:t>
      </w:r>
    </w:p>
    <w:p w14:paraId="62FBBD25" w14:textId="10210228" w:rsidR="00CC6C57" w:rsidRPr="005B7754" w:rsidRDefault="00387716">
      <w:pPr>
        <w:ind w:right="38"/>
        <w:rPr>
          <w:rFonts w:ascii="Verdana" w:hAnsi="Verdana"/>
          <w:sz w:val="24"/>
          <w:szCs w:val="24"/>
        </w:rPr>
      </w:pPr>
      <w:r w:rsidRPr="005B7754">
        <w:rPr>
          <w:rFonts w:ascii="Verdana" w:hAnsi="Verdana"/>
          <w:sz w:val="24"/>
          <w:szCs w:val="24"/>
        </w:rPr>
        <w:t xml:space="preserve">Impugna el señor </w:t>
      </w:r>
      <w:r w:rsidR="005B7754">
        <w:rPr>
          <w:rFonts w:ascii="Verdana" w:hAnsi="Verdana"/>
          <w:sz w:val="24"/>
          <w:szCs w:val="24"/>
        </w:rPr>
        <w:t>G.B.V.</w:t>
      </w:r>
      <w:r w:rsidRPr="005B7754">
        <w:rPr>
          <w:rFonts w:ascii="Verdana" w:hAnsi="Verdana"/>
          <w:sz w:val="24"/>
          <w:szCs w:val="24"/>
        </w:rPr>
        <w:t xml:space="preserve">, cédula de identidad número </w:t>
      </w:r>
      <w:r w:rsidR="005B7754">
        <w:rPr>
          <w:rFonts w:ascii="Verdana" w:hAnsi="Verdana"/>
          <w:sz w:val="24"/>
          <w:szCs w:val="24"/>
        </w:rPr>
        <w:t>XXX</w:t>
      </w:r>
      <w:r w:rsidRPr="005B7754">
        <w:rPr>
          <w:rFonts w:ascii="Verdana" w:hAnsi="Verdana"/>
          <w:sz w:val="24"/>
          <w:szCs w:val="24"/>
        </w:rPr>
        <w:t xml:space="preserve">, la decisión adoptada por el Consejo de Transporte Público, frente a la solicitud que presentó para que se le otorgara un permiso para operar el ramal de la ruta número </w:t>
      </w:r>
      <w:r w:rsidR="005B7754">
        <w:rPr>
          <w:rFonts w:ascii="Verdana" w:hAnsi="Verdana"/>
          <w:sz w:val="24"/>
          <w:szCs w:val="24"/>
        </w:rPr>
        <w:t>XXX</w:t>
      </w:r>
      <w:r w:rsidRPr="005B7754">
        <w:rPr>
          <w:rFonts w:ascii="Verdana" w:hAnsi="Verdana"/>
          <w:sz w:val="24"/>
          <w:szCs w:val="24"/>
        </w:rPr>
        <w:t xml:space="preserve">, descrito como </w:t>
      </w:r>
      <w:r w:rsidR="005B7754">
        <w:rPr>
          <w:rFonts w:ascii="Verdana" w:hAnsi="Verdana"/>
          <w:sz w:val="24"/>
          <w:szCs w:val="24"/>
        </w:rPr>
        <w:t>XXX</w:t>
      </w:r>
      <w:r w:rsidRPr="005B7754">
        <w:rPr>
          <w:rFonts w:ascii="Verdana" w:hAnsi="Verdana"/>
          <w:sz w:val="24"/>
          <w:szCs w:val="24"/>
        </w:rPr>
        <w:t xml:space="preserve">. Mediante acuerdo 6.4, de la Sesión Ordinaria 15-2006, la Junta Directiva, de ese Consejo, con fundamento en el Informe Técnico, remitido en oficio No.DING-05-779, hacen una evaluación de dos propuestas para atender el servicio de transporte remunerado de personas, en el ramal indicado, entre ellas, la del recurrente, La decisión adoptada por la Autoridad de la Administración, se le notifica al señor </w:t>
      </w:r>
      <w:r w:rsidR="005B7754">
        <w:rPr>
          <w:rFonts w:ascii="Verdana" w:hAnsi="Verdana"/>
          <w:sz w:val="24"/>
          <w:szCs w:val="24"/>
        </w:rPr>
        <w:t>G.B.V.</w:t>
      </w:r>
      <w:r w:rsidRPr="005B7754">
        <w:rPr>
          <w:rFonts w:ascii="Verdana" w:hAnsi="Verdana"/>
          <w:sz w:val="24"/>
          <w:szCs w:val="24"/>
        </w:rPr>
        <w:t xml:space="preserve">, el 04 de abril del 2006, posteriormente, solicita una copia del mismo acuerdo, el cual se le entrega el 7 de noviembre del 2006 (ver folio 38 vuelto del expediente administrativo). Conforme al estudio efectuado el Recurso de Apelación fue presentado fuera del plazo legal establecido para tal fin, en los términos del artículo 11 de la Ley Reguladora del Servicio Público de Transporte Remunerado de Personas en vehículos en la modalidad de taxi, Ley N </w:t>
      </w:r>
      <w:r w:rsidRPr="005B7754">
        <w:rPr>
          <w:rFonts w:ascii="Verdana" w:hAnsi="Verdana"/>
          <w:sz w:val="24"/>
          <w:szCs w:val="24"/>
          <w:vertAlign w:val="superscript"/>
        </w:rPr>
        <w:t xml:space="preserve">O </w:t>
      </w:r>
      <w:r w:rsidRPr="005B7754">
        <w:rPr>
          <w:rFonts w:ascii="Verdana" w:hAnsi="Verdana"/>
          <w:sz w:val="24"/>
          <w:szCs w:val="24"/>
        </w:rPr>
        <w:t>7969, del 28 de enero del 2000, toda vez que a la fecha de presentación del escrito de apelación sea ésta 21 de noviembre del 2006, ya había transcurrido sobradamente, el plazo</w:t>
      </w:r>
      <w:r w:rsidR="005B7754">
        <w:rPr>
          <w:rFonts w:ascii="Verdana" w:hAnsi="Verdana"/>
          <w:sz w:val="24"/>
          <w:szCs w:val="24"/>
        </w:rPr>
        <w:t xml:space="preserve"> </w:t>
      </w:r>
      <w:r w:rsidRPr="005B7754">
        <w:rPr>
          <w:rFonts w:ascii="Verdana" w:hAnsi="Verdana"/>
          <w:sz w:val="24"/>
          <w:szCs w:val="24"/>
        </w:rPr>
        <w:t xml:space="preserve">establecido por ley, para recurrir dicho acto. Dispone el artículo 11, de la Ley N </w:t>
      </w:r>
      <w:r w:rsidRPr="005B7754">
        <w:rPr>
          <w:rFonts w:ascii="Verdana" w:hAnsi="Verdana"/>
          <w:sz w:val="24"/>
          <w:szCs w:val="24"/>
          <w:vertAlign w:val="superscript"/>
        </w:rPr>
        <w:t xml:space="preserve">O </w:t>
      </w:r>
      <w:r w:rsidRPr="005B7754">
        <w:rPr>
          <w:rFonts w:ascii="Verdana" w:hAnsi="Verdana"/>
          <w:sz w:val="24"/>
          <w:szCs w:val="24"/>
        </w:rPr>
        <w:t>7969, en lo que interesa, lo siguiente:</w:t>
      </w:r>
    </w:p>
    <w:p w14:paraId="6E94182B" w14:textId="77777777" w:rsidR="00CC6C57" w:rsidRPr="005B7754" w:rsidRDefault="00387716">
      <w:pPr>
        <w:ind w:left="773" w:right="605"/>
        <w:rPr>
          <w:rFonts w:ascii="Verdana" w:hAnsi="Verdana"/>
          <w:sz w:val="24"/>
          <w:szCs w:val="24"/>
        </w:rPr>
      </w:pPr>
      <w:r w:rsidRPr="005B7754">
        <w:rPr>
          <w:rFonts w:ascii="Verdana" w:hAnsi="Verdana"/>
          <w:sz w:val="24"/>
          <w:szCs w:val="24"/>
        </w:rPr>
        <w:t xml:space="preserve">"...Contra las resoluciones del Consejo cabrá recurso de revocatoria ante el órgano que dictó el acto, con apelación en subsidio para ante el Tribunal. Ambos recursos </w:t>
      </w:r>
      <w:r w:rsidRPr="005B7754">
        <w:rPr>
          <w:rFonts w:ascii="Verdana" w:hAnsi="Verdana"/>
          <w:sz w:val="24"/>
          <w:szCs w:val="24"/>
          <w:u w:val="single" w:color="000000"/>
        </w:rPr>
        <w:t>deberán interponerse dentro del plazo de cinco días hábiles, contados a partir de la notificación</w:t>
      </w:r>
      <w:r w:rsidRPr="005B7754">
        <w:rPr>
          <w:rFonts w:ascii="Verdana" w:hAnsi="Verdana"/>
          <w:sz w:val="24"/>
          <w:szCs w:val="24"/>
        </w:rPr>
        <w:t>". (Lo subrayado no es del original)</w:t>
      </w:r>
    </w:p>
    <w:p w14:paraId="427020C2" w14:textId="77777777" w:rsidR="00CC6C57" w:rsidRPr="005B7754" w:rsidRDefault="00387716">
      <w:pPr>
        <w:ind w:right="38"/>
        <w:rPr>
          <w:rFonts w:ascii="Verdana" w:hAnsi="Verdana"/>
          <w:sz w:val="24"/>
          <w:szCs w:val="24"/>
        </w:rPr>
      </w:pPr>
      <w:r w:rsidRPr="005B7754">
        <w:rPr>
          <w:rFonts w:ascii="Verdana" w:hAnsi="Verdana"/>
          <w:sz w:val="24"/>
          <w:szCs w:val="24"/>
        </w:rPr>
        <w:t>De conformidad con la norma transcrita, queda establecido que el recurso de apelación ha sido presentado de manera extemporánea, en razón de ello no es posible entrar a conocerlo y lo procedente es que se rechace ad portas.</w:t>
      </w:r>
    </w:p>
    <w:p w14:paraId="62A5851F" w14:textId="77777777" w:rsidR="00CC6C57" w:rsidRPr="005B7754" w:rsidRDefault="00387716">
      <w:pPr>
        <w:spacing w:after="151" w:line="259" w:lineRule="auto"/>
        <w:ind w:left="178"/>
        <w:jc w:val="center"/>
        <w:rPr>
          <w:rFonts w:ascii="Verdana" w:hAnsi="Verdana"/>
          <w:b/>
          <w:bCs/>
          <w:sz w:val="24"/>
          <w:szCs w:val="24"/>
        </w:rPr>
      </w:pPr>
      <w:r w:rsidRPr="005B7754">
        <w:rPr>
          <w:rFonts w:ascii="Verdana" w:hAnsi="Verdana"/>
          <w:b/>
          <w:bCs/>
          <w:sz w:val="24"/>
          <w:szCs w:val="24"/>
        </w:rPr>
        <w:t>POR TANTO:</w:t>
      </w:r>
    </w:p>
    <w:p w14:paraId="02F0DD84" w14:textId="5ED8F2A0" w:rsidR="00CC6C57" w:rsidRPr="005B7754" w:rsidRDefault="00387716">
      <w:pPr>
        <w:ind w:right="38"/>
        <w:rPr>
          <w:rFonts w:ascii="Verdana" w:hAnsi="Verdana"/>
          <w:sz w:val="24"/>
          <w:szCs w:val="24"/>
        </w:rPr>
      </w:pPr>
      <w:r w:rsidRPr="005B7754">
        <w:rPr>
          <w:rFonts w:ascii="Verdana" w:hAnsi="Verdana"/>
          <w:noProof/>
          <w:sz w:val="24"/>
          <w:szCs w:val="24"/>
        </w:rPr>
        <w:drawing>
          <wp:inline distT="0" distB="0" distL="0" distR="0" wp14:anchorId="1E9C6191" wp14:editId="7057AE85">
            <wp:extent cx="198198" cy="118908"/>
            <wp:effectExtent l="0" t="0" r="0" b="0"/>
            <wp:docPr id="18506" name="Picture 18506"/>
            <wp:cNvGraphicFramePr/>
            <a:graphic xmlns:a="http://schemas.openxmlformats.org/drawingml/2006/main">
              <a:graphicData uri="http://schemas.openxmlformats.org/drawingml/2006/picture">
                <pic:pic xmlns:pic="http://schemas.openxmlformats.org/drawingml/2006/picture">
                  <pic:nvPicPr>
                    <pic:cNvPr id="18506" name="Picture 18506"/>
                    <pic:cNvPicPr/>
                  </pic:nvPicPr>
                  <pic:blipFill>
                    <a:blip r:embed="rId5"/>
                    <a:stretch>
                      <a:fillRect/>
                    </a:stretch>
                  </pic:blipFill>
                  <pic:spPr>
                    <a:xfrm>
                      <a:off x="0" y="0"/>
                      <a:ext cx="198198" cy="118908"/>
                    </a:xfrm>
                    <a:prstGeom prst="rect">
                      <a:avLst/>
                    </a:prstGeom>
                  </pic:spPr>
                </pic:pic>
              </a:graphicData>
            </a:graphic>
          </wp:inline>
        </w:drawing>
      </w:r>
      <w:r w:rsidRPr="005B7754">
        <w:rPr>
          <w:rFonts w:ascii="Verdana" w:hAnsi="Verdana"/>
          <w:sz w:val="24"/>
          <w:szCs w:val="24"/>
        </w:rPr>
        <w:t xml:space="preserve">Se rechaza por extemporáneo el RECURSOS DE APELACIÓN, interpuesto por el señor </w:t>
      </w:r>
      <w:r w:rsidR="005B7754">
        <w:rPr>
          <w:rFonts w:ascii="Verdana" w:hAnsi="Verdana"/>
          <w:sz w:val="24"/>
          <w:szCs w:val="24"/>
        </w:rPr>
        <w:t>G.B.V.</w:t>
      </w:r>
      <w:r w:rsidRPr="005B7754">
        <w:rPr>
          <w:rFonts w:ascii="Verdana" w:hAnsi="Verdana"/>
          <w:sz w:val="24"/>
          <w:szCs w:val="24"/>
        </w:rPr>
        <w:t xml:space="preserve">, cédula de identidad número </w:t>
      </w:r>
      <w:r w:rsidR="005B7754">
        <w:rPr>
          <w:rFonts w:ascii="Verdana" w:hAnsi="Verdana"/>
          <w:sz w:val="24"/>
          <w:szCs w:val="24"/>
        </w:rPr>
        <w:t>XXX</w:t>
      </w:r>
      <w:r w:rsidRPr="005B7754">
        <w:rPr>
          <w:rFonts w:ascii="Verdana" w:hAnsi="Verdana"/>
          <w:sz w:val="24"/>
          <w:szCs w:val="24"/>
        </w:rPr>
        <w:t xml:space="preserve">, en contra del artículo 6.4, de la Sesión Ordinaria 15-2006, del 01 de marzo </w:t>
      </w:r>
      <w:r w:rsidRPr="005B7754">
        <w:rPr>
          <w:rFonts w:ascii="Verdana" w:hAnsi="Verdana"/>
          <w:sz w:val="24"/>
          <w:szCs w:val="24"/>
        </w:rPr>
        <w:lastRenderedPageBreak/>
        <w:t>del 2006, adoptado por la Junta Directiva del Consejo de Transporte Público.</w:t>
      </w:r>
    </w:p>
    <w:p w14:paraId="6D6ECFF7" w14:textId="389B46C2" w:rsidR="00CC6C57" w:rsidRDefault="00387716">
      <w:pPr>
        <w:spacing w:after="582"/>
        <w:ind w:right="38"/>
        <w:rPr>
          <w:rFonts w:ascii="Verdana" w:hAnsi="Verdana"/>
          <w:sz w:val="24"/>
          <w:szCs w:val="24"/>
        </w:rPr>
      </w:pPr>
      <w:proofErr w:type="gramStart"/>
      <w:r w:rsidRPr="005B7754">
        <w:rPr>
          <w:rFonts w:ascii="Verdana" w:hAnsi="Verdana"/>
          <w:sz w:val="24"/>
          <w:szCs w:val="24"/>
        </w:rPr>
        <w:t>II,-</w:t>
      </w:r>
      <w:proofErr w:type="gramEnd"/>
      <w:r w:rsidRPr="005B7754">
        <w:rPr>
          <w:rFonts w:ascii="Verdana" w:hAnsi="Verdana"/>
          <w:sz w:val="24"/>
          <w:szCs w:val="24"/>
        </w:rPr>
        <w:t xml:space="preserve"> De conformidad con el artículo 22, inciso c), de la citada Ley 7969, la presente resolución no tiene ulterior recurso por </w:t>
      </w:r>
      <w:r w:rsidR="005B7754">
        <w:rPr>
          <w:rFonts w:ascii="Verdana" w:hAnsi="Verdana"/>
          <w:sz w:val="24"/>
          <w:szCs w:val="24"/>
        </w:rPr>
        <w:t>l</w:t>
      </w:r>
      <w:r w:rsidRPr="005B7754">
        <w:rPr>
          <w:rFonts w:ascii="Verdana" w:hAnsi="Verdana"/>
          <w:sz w:val="24"/>
          <w:szCs w:val="24"/>
        </w:rPr>
        <w:t xml:space="preserve">o que, se tiene por agotada la vía administrativa. </w:t>
      </w:r>
      <w:proofErr w:type="gramStart"/>
      <w:r w:rsidRPr="005B7754">
        <w:rPr>
          <w:rFonts w:ascii="Verdana" w:hAnsi="Verdana"/>
          <w:sz w:val="24"/>
          <w:szCs w:val="24"/>
        </w:rPr>
        <w:t>NOTIFIQUESE.-</w:t>
      </w:r>
      <w:proofErr w:type="gramEnd"/>
    </w:p>
    <w:p w14:paraId="116DF813" w14:textId="77777777" w:rsidR="005B7754" w:rsidRPr="00417D3A" w:rsidRDefault="005B7754" w:rsidP="005B7754">
      <w:pPr>
        <w:pStyle w:val="Ttulo5"/>
        <w:jc w:val="center"/>
        <w:rPr>
          <w:rFonts w:ascii="Verdana" w:hAnsi="Verdana"/>
          <w:b/>
          <w:bCs/>
          <w:i/>
          <w:color w:val="auto"/>
          <w:sz w:val="24"/>
          <w:szCs w:val="24"/>
        </w:rPr>
      </w:pPr>
      <w:bookmarkStart w:id="0" w:name="_Hlk42072670"/>
      <w:r w:rsidRPr="00417D3A">
        <w:rPr>
          <w:rFonts w:ascii="Verdana" w:hAnsi="Verdana"/>
          <w:b/>
          <w:bCs/>
          <w:color w:val="auto"/>
          <w:sz w:val="24"/>
          <w:szCs w:val="24"/>
        </w:rPr>
        <w:t xml:space="preserve">Lic. Carlos Miguel </w:t>
      </w:r>
      <w:proofErr w:type="spellStart"/>
      <w:r w:rsidRPr="00417D3A">
        <w:rPr>
          <w:rFonts w:ascii="Verdana" w:hAnsi="Verdana"/>
          <w:b/>
          <w:bCs/>
          <w:color w:val="auto"/>
          <w:sz w:val="24"/>
          <w:szCs w:val="24"/>
        </w:rPr>
        <w:t>Portuguez</w:t>
      </w:r>
      <w:proofErr w:type="spellEnd"/>
      <w:r w:rsidRPr="00417D3A">
        <w:rPr>
          <w:rFonts w:ascii="Verdana" w:hAnsi="Verdana"/>
          <w:b/>
          <w:bCs/>
          <w:color w:val="auto"/>
          <w:sz w:val="24"/>
          <w:szCs w:val="24"/>
        </w:rPr>
        <w:t xml:space="preserve"> Méndez</w:t>
      </w:r>
    </w:p>
    <w:p w14:paraId="42D2A8CD" w14:textId="77777777" w:rsidR="005B7754" w:rsidRPr="00417D3A" w:rsidRDefault="005B7754" w:rsidP="005B7754">
      <w:pPr>
        <w:pStyle w:val="Ttulo5"/>
        <w:jc w:val="center"/>
        <w:rPr>
          <w:rFonts w:ascii="Verdana" w:hAnsi="Verdana"/>
          <w:b/>
          <w:bCs/>
          <w:i/>
          <w:color w:val="auto"/>
          <w:sz w:val="24"/>
          <w:szCs w:val="24"/>
        </w:rPr>
      </w:pPr>
      <w:r w:rsidRPr="00417D3A">
        <w:rPr>
          <w:rFonts w:ascii="Verdana" w:hAnsi="Verdana"/>
          <w:b/>
          <w:bCs/>
          <w:color w:val="auto"/>
          <w:sz w:val="24"/>
          <w:szCs w:val="24"/>
        </w:rPr>
        <w:t>Presidente</w:t>
      </w:r>
      <w:bookmarkStart w:id="1" w:name="_GoBack"/>
      <w:bookmarkEnd w:id="1"/>
    </w:p>
    <w:p w14:paraId="26A28748" w14:textId="77777777" w:rsidR="005B7754" w:rsidRPr="005B7754" w:rsidRDefault="005B7754" w:rsidP="005B7754">
      <w:pPr>
        <w:rPr>
          <w:b/>
          <w:bCs/>
          <w:color w:val="auto"/>
        </w:rPr>
      </w:pPr>
    </w:p>
    <w:p w14:paraId="442CA195" w14:textId="77777777" w:rsidR="005B7754" w:rsidRPr="005B7754" w:rsidRDefault="005B7754" w:rsidP="005B7754">
      <w:pPr>
        <w:rPr>
          <w:b/>
          <w:bCs/>
          <w:color w:val="auto"/>
        </w:rPr>
      </w:pPr>
    </w:p>
    <w:p w14:paraId="7F3FB574" w14:textId="47E37334" w:rsidR="005B7754" w:rsidRPr="005B7754" w:rsidRDefault="005B7754" w:rsidP="005B7754">
      <w:pPr>
        <w:pStyle w:val="Ttulo5"/>
        <w:jc w:val="center"/>
        <w:rPr>
          <w:rFonts w:ascii="Verdana" w:hAnsi="Verdana"/>
          <w:b/>
          <w:bCs/>
          <w:i/>
          <w:color w:val="auto"/>
          <w:sz w:val="24"/>
          <w:szCs w:val="24"/>
        </w:rPr>
      </w:pPr>
      <w:r w:rsidRPr="005B7754">
        <w:rPr>
          <w:rFonts w:ascii="Verdana" w:hAnsi="Verdana"/>
          <w:b/>
          <w:bCs/>
          <w:color w:val="auto"/>
          <w:sz w:val="24"/>
          <w:szCs w:val="24"/>
        </w:rPr>
        <w:t xml:space="preserve">Lic. Luis Gerardo Fallas Acosta        Licda. Marta Luz Pérez Peláez                               </w:t>
      </w:r>
    </w:p>
    <w:p w14:paraId="4A212BA9" w14:textId="77777777" w:rsidR="005B7754" w:rsidRPr="005B7754" w:rsidRDefault="005B7754" w:rsidP="005B7754">
      <w:pPr>
        <w:rPr>
          <w:rFonts w:ascii="Verdana" w:hAnsi="Verdana"/>
          <w:b/>
          <w:bCs/>
          <w:color w:val="auto"/>
          <w:sz w:val="24"/>
          <w:szCs w:val="24"/>
        </w:rPr>
      </w:pPr>
      <w:r w:rsidRPr="005B7754">
        <w:rPr>
          <w:rFonts w:ascii="Verdana" w:hAnsi="Verdana"/>
          <w:b/>
          <w:bCs/>
          <w:color w:val="auto"/>
          <w:sz w:val="24"/>
          <w:szCs w:val="24"/>
        </w:rPr>
        <w:tab/>
        <w:t xml:space="preserve">           Juez</w:t>
      </w:r>
      <w:r w:rsidRPr="005B7754">
        <w:rPr>
          <w:rFonts w:ascii="Verdana" w:hAnsi="Verdana"/>
          <w:b/>
          <w:bCs/>
          <w:color w:val="auto"/>
          <w:sz w:val="24"/>
          <w:szCs w:val="24"/>
        </w:rPr>
        <w:tab/>
      </w:r>
      <w:r w:rsidRPr="005B7754">
        <w:rPr>
          <w:rFonts w:ascii="Verdana" w:hAnsi="Verdana"/>
          <w:b/>
          <w:bCs/>
          <w:color w:val="auto"/>
          <w:sz w:val="24"/>
          <w:szCs w:val="24"/>
        </w:rPr>
        <w:tab/>
      </w:r>
      <w:r w:rsidRPr="005B7754">
        <w:rPr>
          <w:rFonts w:ascii="Verdana" w:hAnsi="Verdana"/>
          <w:b/>
          <w:bCs/>
          <w:color w:val="auto"/>
          <w:sz w:val="24"/>
          <w:szCs w:val="24"/>
        </w:rPr>
        <w:tab/>
      </w:r>
      <w:r w:rsidRPr="005B7754">
        <w:rPr>
          <w:rFonts w:ascii="Verdana" w:hAnsi="Verdana"/>
          <w:b/>
          <w:bCs/>
          <w:color w:val="auto"/>
          <w:sz w:val="24"/>
          <w:szCs w:val="24"/>
        </w:rPr>
        <w:tab/>
        <w:t xml:space="preserve">                  </w:t>
      </w:r>
      <w:proofErr w:type="spellStart"/>
      <w:r w:rsidRPr="005B7754">
        <w:rPr>
          <w:rFonts w:ascii="Verdana" w:hAnsi="Verdana"/>
          <w:b/>
          <w:bCs/>
          <w:color w:val="auto"/>
          <w:sz w:val="24"/>
          <w:szCs w:val="24"/>
        </w:rPr>
        <w:t>Juez</w:t>
      </w:r>
      <w:proofErr w:type="spellEnd"/>
    </w:p>
    <w:bookmarkEnd w:id="0"/>
    <w:p w14:paraId="7594CA6F" w14:textId="77777777" w:rsidR="005B7754" w:rsidRDefault="005B7754" w:rsidP="005B7754">
      <w:pPr>
        <w:rPr>
          <w:rFonts w:ascii="Verdana" w:hAnsi="Verdana"/>
          <w:sz w:val="24"/>
          <w:szCs w:val="24"/>
        </w:rPr>
      </w:pPr>
    </w:p>
    <w:p w14:paraId="686BFA4B" w14:textId="77777777" w:rsidR="005B7754" w:rsidRPr="005B7754" w:rsidRDefault="005B7754">
      <w:pPr>
        <w:spacing w:after="582"/>
        <w:ind w:right="38"/>
        <w:rPr>
          <w:rFonts w:ascii="Verdana" w:hAnsi="Verdana"/>
          <w:sz w:val="24"/>
          <w:szCs w:val="24"/>
        </w:rPr>
      </w:pPr>
    </w:p>
    <w:sectPr w:rsidR="005B7754" w:rsidRPr="005B7754">
      <w:pgSz w:w="12134" w:h="15840"/>
      <w:pgMar w:top="953" w:right="1513" w:bottom="715" w:left="15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57"/>
    <w:rsid w:val="00387716"/>
    <w:rsid w:val="00417D3A"/>
    <w:rsid w:val="005B7754"/>
    <w:rsid w:val="00CC6C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2846"/>
  <w15:docId w15:val="{E09B21EB-8741-47E0-BC32-3E6012F4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0" w:line="216" w:lineRule="auto"/>
      <w:ind w:left="230"/>
      <w:jc w:val="both"/>
    </w:pPr>
    <w:rPr>
      <w:rFonts w:ascii="Calibri" w:eastAsia="Calibri" w:hAnsi="Calibri" w:cs="Calibri"/>
      <w:color w:val="000000"/>
      <w:sz w:val="30"/>
    </w:rPr>
  </w:style>
  <w:style w:type="paragraph" w:styleId="Ttulo1">
    <w:name w:val="heading 1"/>
    <w:next w:val="Normal"/>
    <w:link w:val="Ttulo1Car"/>
    <w:uiPriority w:val="9"/>
    <w:qFormat/>
    <w:pPr>
      <w:keepNext/>
      <w:keepLines/>
      <w:spacing w:after="255"/>
      <w:ind w:left="34"/>
      <w:jc w:val="center"/>
      <w:outlineLvl w:val="0"/>
    </w:pPr>
    <w:rPr>
      <w:rFonts w:ascii="Calibri" w:eastAsia="Calibri" w:hAnsi="Calibri" w:cs="Calibri"/>
      <w:color w:val="000000"/>
      <w:sz w:val="34"/>
    </w:rPr>
  </w:style>
  <w:style w:type="paragraph" w:styleId="Ttulo2">
    <w:name w:val="heading 2"/>
    <w:next w:val="Normal"/>
    <w:link w:val="Ttulo2Car"/>
    <w:uiPriority w:val="9"/>
    <w:unhideWhenUsed/>
    <w:qFormat/>
    <w:pPr>
      <w:keepNext/>
      <w:keepLines/>
      <w:spacing w:after="5" w:line="256" w:lineRule="auto"/>
      <w:ind w:left="168" w:hanging="10"/>
      <w:jc w:val="center"/>
      <w:outlineLvl w:val="1"/>
    </w:pPr>
    <w:rPr>
      <w:rFonts w:ascii="Times New Roman" w:eastAsia="Times New Roman" w:hAnsi="Times New Roman" w:cs="Times New Roman"/>
      <w:color w:val="000000"/>
      <w:sz w:val="28"/>
    </w:rPr>
  </w:style>
  <w:style w:type="paragraph" w:styleId="Ttulo3">
    <w:name w:val="heading 3"/>
    <w:next w:val="Normal"/>
    <w:link w:val="Ttulo3Car"/>
    <w:uiPriority w:val="9"/>
    <w:unhideWhenUsed/>
    <w:qFormat/>
    <w:pPr>
      <w:keepNext/>
      <w:keepLines/>
      <w:spacing w:after="528"/>
      <w:ind w:left="86"/>
      <w:jc w:val="center"/>
      <w:outlineLvl w:val="2"/>
    </w:pPr>
    <w:rPr>
      <w:rFonts w:ascii="Times New Roman" w:eastAsia="Times New Roman" w:hAnsi="Times New Roman" w:cs="Times New Roman"/>
      <w:color w:val="000000"/>
      <w:sz w:val="24"/>
      <w:u w:val="single" w:color="000000"/>
    </w:rPr>
  </w:style>
  <w:style w:type="paragraph" w:styleId="Ttulo4">
    <w:name w:val="heading 4"/>
    <w:next w:val="Normal"/>
    <w:link w:val="Ttulo4Car"/>
    <w:uiPriority w:val="9"/>
    <w:unhideWhenUsed/>
    <w:qFormat/>
    <w:pPr>
      <w:keepNext/>
      <w:keepLines/>
      <w:spacing w:after="0"/>
      <w:ind w:left="173"/>
      <w:outlineLvl w:val="3"/>
    </w:pPr>
    <w:rPr>
      <w:rFonts w:ascii="Times New Roman" w:eastAsia="Times New Roman" w:hAnsi="Times New Roman" w:cs="Times New Roman"/>
      <w:color w:val="000000"/>
      <w:u w:val="single" w:color="000000"/>
    </w:rPr>
  </w:style>
  <w:style w:type="paragraph" w:styleId="Ttulo5">
    <w:name w:val="heading 5"/>
    <w:basedOn w:val="Normal"/>
    <w:next w:val="Normal"/>
    <w:link w:val="Ttulo5Car"/>
    <w:uiPriority w:val="9"/>
    <w:semiHidden/>
    <w:unhideWhenUsed/>
    <w:qFormat/>
    <w:rsid w:val="005B77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Pr>
      <w:rFonts w:ascii="Times New Roman" w:eastAsia="Times New Roman" w:hAnsi="Times New Roman" w:cs="Times New Roman"/>
      <w:color w:val="000000"/>
      <w:sz w:val="22"/>
      <w:u w:val="single" w:color="000000"/>
    </w:rPr>
  </w:style>
  <w:style w:type="character" w:customStyle="1" w:styleId="Ttulo3Car">
    <w:name w:val="Título 3 Car"/>
    <w:link w:val="Ttulo3"/>
    <w:rPr>
      <w:rFonts w:ascii="Times New Roman" w:eastAsia="Times New Roman" w:hAnsi="Times New Roman" w:cs="Times New Roman"/>
      <w:color w:val="000000"/>
      <w:sz w:val="24"/>
      <w:u w:val="single" w:color="000000"/>
    </w:rPr>
  </w:style>
  <w:style w:type="character" w:customStyle="1" w:styleId="Ttulo2Car">
    <w:name w:val="Título 2 Car"/>
    <w:link w:val="Ttulo2"/>
    <w:rPr>
      <w:rFonts w:ascii="Times New Roman" w:eastAsia="Times New Roman" w:hAnsi="Times New Roman" w:cs="Times New Roman"/>
      <w:color w:val="000000"/>
      <w:sz w:val="28"/>
    </w:rPr>
  </w:style>
  <w:style w:type="character" w:customStyle="1" w:styleId="Ttulo1Car">
    <w:name w:val="Título 1 Car"/>
    <w:link w:val="Ttulo1"/>
    <w:rPr>
      <w:rFonts w:ascii="Calibri" w:eastAsia="Calibri" w:hAnsi="Calibri" w:cs="Calibri"/>
      <w:color w:val="000000"/>
      <w:sz w:val="34"/>
    </w:rPr>
  </w:style>
  <w:style w:type="character" w:customStyle="1" w:styleId="Ttulo5Car">
    <w:name w:val="Título 5 Car"/>
    <w:basedOn w:val="Fuentedeprrafopredeter"/>
    <w:link w:val="Ttulo5"/>
    <w:uiPriority w:val="9"/>
    <w:semiHidden/>
    <w:rsid w:val="005B7754"/>
    <w:rPr>
      <w:rFonts w:asciiTheme="majorHAnsi" w:eastAsiaTheme="majorEastAsia" w:hAnsiTheme="majorHAnsi" w:cstheme="majorBidi"/>
      <w:color w:val="2F5496" w:themeColor="accent1" w:themeShade="B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2020-06-08T15:03:00Z</dcterms:created>
  <dcterms:modified xsi:type="dcterms:W3CDTF">2020-06-08T15:03:00Z</dcterms:modified>
</cp:coreProperties>
</file>